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19 165 vom 21. Februar 2020</w:t>
      </w:r>
    </w:p>
    <w:p>
      <w:r>
        <w:t>BL Gerichte, 2020-02-21, DE</w:t>
      </w:r>
    </w:p>
    <w:p>
      <w:r>
        <w:rPr>
          <w:b/>
        </w:rPr>
        <w:t xml:space="preserve">Quelle: </w:t>
      </w:r>
      <w:r>
        <w:t>https://mcp.opencaselaw.ch/entscheid/bl_gerichte_810 19 165</w:t>
      </w:r>
    </w:p>
    <w:p>
      <w:r>
        <w:t>FR: BL_GERICHTE 810 19 165 du 21 février 2020</w:t>
      </w:r>
    </w:p>
    <w:p>
      <w:r>
        <w:t>IT: BL_GERICHTE 810 19 165 del 21 febbraio 2020</w:t>
      </w:r>
    </w:p>
    <w:p>
      <w:pPr>
        <w:pStyle w:val="Heading2"/>
      </w:pPr>
      <w:r>
        <w:t>Regeste</w:t>
      </w:r>
    </w:p>
    <w:p>
      <w:r>
        <w:t>Planungszone Ortskern der Gemeinde C.____</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vorliegt, ist die Zuständigkeit des Kantonsgerichts zur Beurteilung der vorliegenden Angelegenheit gegeben. B.____ ist Eigentümer der Parzelle Nr. 115 und einzelzeichnungsberechtigtes Mitglied des Verwaltungsrates der A.____ AG. Letztgenannte ist Projektverfasserin und hat ihren Sitz und ihre Geschäftsräume in der Liegenschaft auf der Parzelle Nr. 115. Der Beschwerdeführer und die Beschwerdeführerin sind vom angefochtenen Entscheid berührt, haben ein schutzwürdiges Interesse an der Aufhebung der Planungszone und haben am Verfahren vor dem Regierungsrat teilgenommen, womit sie beschwerdelegitimiert sind. Auch die weiteren formellen Voraussetzungen sind erfüllt, so dass auf die Beschwerde einzutreten ist.</w:t>
      </w:r>
    </w:p>
    <w:p>
      <w:r>
        <w:rPr>
          <w:b/>
        </w:rPr>
        <w:t>E. 2</w:t>
      </w:r>
    </w:p>
    <w:p>
      <w:r>
        <w:t>Die Verfahrenskosten in der Gesamthöhe von Fr. 3'000.-- werden je zur Hälfte, d.h. je im Umfang von Fr. 1'500.--, den beschwerdeführenden Parteien auferlegt und mit den geleisteten Kostenvorschüssen in der Gesamthöhe von Fr. 4'400.-- verrechnet. Die von den beschwerdeführenden Parteien zuviel bezahlten Kostenvorschüsse in der Gesamthöhe von Fr. 1'400.-- werden diesen je zur Hälfte, d.h. im Umfang von je Fr. 700.--, zurückerstattet.</w:t>
      </w:r>
    </w:p>
    <w:p>
      <w:r>
        <w:rPr>
          <w:b/>
        </w:rPr>
        <w:t>E. 3</w:t>
      </w:r>
    </w:p>
    <w:p>
      <w:r>
        <w:t>Die Parteikosten werden wettgeschlagen. Kantonsrichter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